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01 – Privacy Policy (Website)</w:t>
      </w:r>
    </w:p>
    <w:p>
      <w:pPr>
        <w:spacing w:before="0" w:after="100"/>
        <w:jc w:val="center"/>
      </w:pPr>
      <w:r>
        <w:rPr>
          <w:rFonts w:ascii="Arial" w:cs="Arial" w:eastAsia="Arial" w:hAnsi="Arial"/>
          <w:b/>
          <w:bCs/>
          <w:color w:val="1F3864"/>
          <w:sz w:val="36"/>
          <w:szCs w:val="36"/>
        </w:rPr>
        <w:t xml:space="preserve">PRIVACY POLICY</w:t>
      </w:r>
    </w:p>
    <w:p>
      <w:pPr>
        <w:spacing w:before="0" w:after="120"/>
        <w:jc w:val="center"/>
      </w:pPr>
      <w:r>
        <w:rPr>
          <w:rFonts w:ascii="Arial" w:cs="Arial" w:eastAsia="Arial" w:hAnsi="Arial"/>
          <w:color w:val="2E74B5"/>
          <w:sz w:val="22"/>
          <w:szCs w:val="22"/>
        </w:rPr>
        <w:t xml:space="preserve">Under the Digital Personal Data Protection Act, 2023</w:t>
      </w:r>
    </w:p>
    <w:p>
      <w:pPr>
        <w:spacing w:before="0" w:after="120"/>
        <w:jc w:val="center"/>
      </w:pPr>
      <w:r>
        <w:rPr>
          <w:rFonts w:ascii="Arial" w:cs="Arial" w:eastAsia="Arial" w:hAnsi="Arial"/>
          <w:color w:val="888888"/>
          <w:sz w:val="18"/>
          <w:szCs w:val="18"/>
        </w:rPr>
        <w:t xml:space="preserve">DPDPA Legal | Roots Cyber Law Firm | Template Form 01</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Effective 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[l]</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Last Updated: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[l]</w:t>
            </w:r>
          </w:p>
        </w:tc>
      </w:tr>
    </w:tbl>
    <w:p>
      <w:pPr>
        <w:spacing w:before="120" w:after="60"/>
      </w:pPr>
    </w:p>
    <w:p>
      <w:pPr>
        <w:spacing w:before="60" w:after="60"/>
      </w:pPr>
      <w:r>
        <w:rPr>
          <w:rFonts w:ascii="Arial" w:cs="Arial" w:eastAsia="Arial" w:hAnsi="Arial"/>
          <w:sz w:val="20"/>
          <w:szCs w:val="20"/>
        </w:rPr>
        <w:t xml:space="preserve">This Privacy Policy ("Policy") is issued by [Company Name], a company incorporated under the laws of India, having its registered office at [Address] ("Company", "we", "us", or "our"), in its capacity as a Data Fiduciary under the Digital Personal Data Protection Act, 2023 ("DPDPA"). This Policy describes the manner in which we collect, process, store, use, disclose, and otherwise handle Personal Data of individuals ("Data Principals") who access or use our website, applications, products, or services.</w:t>
      </w:r>
    </w:p>
    <w:p>
      <w:pPr>
        <w:pBdr>
          <w:bottom w:val="single" w:color="1F3864" w:sz="6" w:space="1"/>
        </w:pBdr>
        <w:spacing w:before="360" w:after="120"/>
      </w:pPr>
      <w:r>
        <w:rPr>
          <w:rFonts w:ascii="Arial" w:cs="Arial" w:eastAsia="Arial" w:hAnsi="Arial"/>
          <w:b/>
          <w:bCs/>
          <w:color w:val="1F3864"/>
          <w:sz w:val="28"/>
          <w:szCs w:val="28"/>
        </w:rPr>
        <w:t xml:space="preserve">1.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"Act"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The Digital Personal Data Protection Act, 2023, and rules framed thereunder.</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"Data Principal"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The individual to whom the Personal Data relates.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"Data Fiduciary"</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Entity which alone or jointly determines the purpose and means of processing.</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"Personal Data"</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Any data about an individual who is identifiable by or in relation to such data.</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"Processing"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Wholly or partly automated operation on Personal Data — collection, storage, use, disclosure, erasure, or destruction.</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"Personal Data Breach"</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Unauthorized processing, accidental disclosure, or unlawful access to Personal Data.</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"Data Processor"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Any person who processes Personal Data on behalf of a Data Fiduciary.</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"Consent Manager"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 person registered with the Data Protection Board to enable consent management.</w:t>
            </w:r>
          </w:p>
        </w:tc>
      </w:tr>
    </w:tbl>
    <w:p>
      <w:pPr>
        <w:pBdr>
          <w:bottom w:val="single" w:color="1F3864" w:sz="6" w:space="1"/>
        </w:pBdr>
        <w:spacing w:before="360" w:after="120"/>
      </w:pPr>
      <w:r>
        <w:rPr>
          <w:rFonts w:ascii="Arial" w:cs="Arial" w:eastAsia="Arial" w:hAnsi="Arial"/>
          <w:b/>
          <w:bCs/>
          <w:color w:val="1F3864"/>
          <w:sz w:val="28"/>
          <w:szCs w:val="28"/>
        </w:rPr>
        <w:t xml:space="preserve">2. SCOPE &amp; APPLICABILITY</w:t>
      </w:r>
    </w:p>
    <w:p>
      <w:pPr>
        <w:spacing w:before="60" w:after="60"/>
      </w:pPr>
      <w:r>
        <w:rPr>
          <w:rFonts w:ascii="Arial" w:cs="Arial" w:eastAsia="Arial" w:hAnsi="Arial"/>
          <w:sz w:val="20"/>
          <w:szCs w:val="20"/>
        </w:rPr>
        <w:t xml:space="preserve">This Policy applies to all Personal Data collected through our website, mobile applications, or any other digital or offline touchpoints, from residents of India or individuals whose data is processed within India, in accordance with the territorial scope of the DPDPA.</w:t>
      </w:r>
    </w:p>
    <w:p>
      <w:pPr>
        <w:pBdr>
          <w:bottom w:val="single" w:color="1F3864" w:sz="6" w:space="1"/>
        </w:pBdr>
        <w:spacing w:before="360" w:after="120"/>
      </w:pPr>
      <w:r>
        <w:rPr>
          <w:rFonts w:ascii="Arial" w:cs="Arial" w:eastAsia="Arial" w:hAnsi="Arial"/>
          <w:b/>
          <w:bCs/>
          <w:color w:val="1F3864"/>
          <w:sz w:val="28"/>
          <w:szCs w:val="28"/>
        </w:rPr>
        <w:t xml:space="preserve">3. CATEGORIES OF PERSONAL DATA COLLECTED</w:t>
      </w:r>
    </w:p>
    <w:p>
      <w:pPr>
        <w:spacing w:before="240" w:after="80"/>
      </w:pPr>
      <w:r>
        <w:rPr>
          <w:rFonts w:ascii="Arial" w:cs="Arial" w:eastAsia="Arial" w:hAnsi="Arial"/>
          <w:b/>
          <w:bCs/>
          <w:color w:val="2E74B5"/>
          <w:sz w:val="22"/>
          <w:szCs w:val="22"/>
        </w:rPr>
        <w:t xml:space="preserve">3.1 Information Provided by You</w:t>
      </w:r>
    </w:p>
    <w:p>
      <w:pPr>
        <w:spacing w:before="40" w:after="40"/>
        <w:ind w:left="360"/>
      </w:pPr>
      <w:r>
        <w:rPr>
          <w:rFonts w:ascii="Arial" w:cs="Arial" w:eastAsia="Arial" w:hAnsi="Arial"/>
          <w:sz w:val="20"/>
          <w:szCs w:val="20"/>
        </w:rPr>
        <w:t xml:space="preserve">□  Name, email address, phone number, and postal address</w:t>
      </w:r>
    </w:p>
    <w:p>
      <w:pPr>
        <w:spacing w:before="40" w:after="40"/>
        <w:ind w:left="360"/>
      </w:pPr>
      <w:r>
        <w:rPr>
          <w:rFonts w:ascii="Arial" w:cs="Arial" w:eastAsia="Arial" w:hAnsi="Arial"/>
          <w:sz w:val="20"/>
          <w:szCs w:val="20"/>
        </w:rPr>
        <w:t xml:space="preserve">□  Account credentials and profile information</w:t>
      </w:r>
    </w:p>
    <w:p>
      <w:pPr>
        <w:spacing w:before="40" w:after="40"/>
        <w:ind w:left="360"/>
      </w:pPr>
      <w:r>
        <w:rPr>
          <w:rFonts w:ascii="Arial" w:cs="Arial" w:eastAsia="Arial" w:hAnsi="Arial"/>
          <w:sz w:val="20"/>
          <w:szCs w:val="20"/>
        </w:rPr>
        <w:t xml:space="preserve">□  Payment and financial information</w:t>
      </w:r>
    </w:p>
    <w:p>
      <w:pPr>
        <w:spacing w:before="40" w:after="40"/>
        <w:ind w:left="360"/>
      </w:pPr>
      <w:r>
        <w:rPr>
          <w:rFonts w:ascii="Arial" w:cs="Arial" w:eastAsia="Arial" w:hAnsi="Arial"/>
          <w:sz w:val="20"/>
          <w:szCs w:val="20"/>
        </w:rPr>
        <w:t xml:space="preserve">□  Communications and queries submitted to us</w:t>
      </w:r>
    </w:p>
    <w:p>
      <w:pPr>
        <w:spacing w:before="240" w:after="80"/>
      </w:pPr>
      <w:r>
        <w:rPr>
          <w:rFonts w:ascii="Arial" w:cs="Arial" w:eastAsia="Arial" w:hAnsi="Arial"/>
          <w:b/>
          <w:bCs/>
          <w:color w:val="2E74B5"/>
          <w:sz w:val="22"/>
          <w:szCs w:val="22"/>
        </w:rPr>
        <w:t xml:space="preserve">3.2 Information Collected Automatically</w:t>
      </w:r>
    </w:p>
    <w:p>
      <w:pPr>
        <w:spacing w:before="40" w:after="40"/>
        <w:ind w:left="360"/>
      </w:pPr>
      <w:r>
        <w:rPr>
          <w:rFonts w:ascii="Arial" w:cs="Arial" w:eastAsia="Arial" w:hAnsi="Arial"/>
          <w:sz w:val="20"/>
          <w:szCs w:val="20"/>
        </w:rPr>
        <w:t xml:space="preserve">□  IP address and device identifiers</w:t>
      </w:r>
    </w:p>
    <w:p>
      <w:pPr>
        <w:spacing w:before="40" w:after="40"/>
        <w:ind w:left="360"/>
      </w:pPr>
      <w:r>
        <w:rPr>
          <w:rFonts w:ascii="Arial" w:cs="Arial" w:eastAsia="Arial" w:hAnsi="Arial"/>
          <w:sz w:val="20"/>
          <w:szCs w:val="20"/>
        </w:rPr>
        <w:t xml:space="preserve">□  Browser type, operating system, and language</w:t>
      </w:r>
    </w:p>
    <w:p>
      <w:pPr>
        <w:spacing w:before="40" w:after="40"/>
        <w:ind w:left="360"/>
      </w:pPr>
      <w:r>
        <w:rPr>
          <w:rFonts w:ascii="Arial" w:cs="Arial" w:eastAsia="Arial" w:hAnsi="Arial"/>
          <w:sz w:val="20"/>
          <w:szCs w:val="20"/>
        </w:rPr>
        <w:t xml:space="preserve">□  Usage data and analytics information</w:t>
      </w:r>
    </w:p>
    <w:p>
      <w:pPr>
        <w:spacing w:before="40" w:after="40"/>
        <w:ind w:left="360"/>
      </w:pPr>
      <w:r>
        <w:rPr>
          <w:rFonts w:ascii="Arial" w:cs="Arial" w:eastAsia="Arial" w:hAnsi="Arial"/>
          <w:sz w:val="20"/>
          <w:szCs w:val="20"/>
        </w:rPr>
        <w:t xml:space="preserve">□  Cookies and tracking information</w:t>
      </w:r>
    </w:p>
    <w:p>
      <w:pPr>
        <w:spacing w:before="240" w:after="80"/>
      </w:pPr>
      <w:r>
        <w:rPr>
          <w:rFonts w:ascii="Arial" w:cs="Arial" w:eastAsia="Arial" w:hAnsi="Arial"/>
          <w:b/>
          <w:bCs/>
          <w:color w:val="2E74B5"/>
          <w:sz w:val="22"/>
          <w:szCs w:val="22"/>
        </w:rPr>
        <w:t xml:space="preserve">3.3 Information from Third Parties</w:t>
      </w:r>
    </w:p>
    <w:p>
      <w:pPr>
        <w:spacing w:before="40" w:after="40"/>
        <w:ind w:left="360"/>
      </w:pPr>
      <w:r>
        <w:rPr>
          <w:rFonts w:ascii="Arial" w:cs="Arial" w:eastAsia="Arial" w:hAnsi="Arial"/>
          <w:sz w:val="20"/>
          <w:szCs w:val="20"/>
        </w:rPr>
        <w:t xml:space="preserve">□  Identity verification providers</w:t>
      </w:r>
    </w:p>
    <w:p>
      <w:pPr>
        <w:spacing w:before="40" w:after="40"/>
        <w:ind w:left="360"/>
      </w:pPr>
      <w:r>
        <w:rPr>
          <w:rFonts w:ascii="Arial" w:cs="Arial" w:eastAsia="Arial" w:hAnsi="Arial"/>
          <w:sz w:val="20"/>
          <w:szCs w:val="20"/>
        </w:rPr>
        <w:t xml:space="preserve">□  Payment processors</w:t>
      </w:r>
    </w:p>
    <w:p>
      <w:pPr>
        <w:spacing w:before="40" w:after="40"/>
        <w:ind w:left="360"/>
      </w:pPr>
      <w:r>
        <w:rPr>
          <w:rFonts w:ascii="Arial" w:cs="Arial" w:eastAsia="Arial" w:hAnsi="Arial"/>
          <w:sz w:val="20"/>
          <w:szCs w:val="20"/>
        </w:rPr>
        <w:t xml:space="preserve">□  Business partners</w:t>
      </w:r>
    </w:p>
    <w:p>
      <w:pPr>
        <w:spacing w:before="40" w:after="40"/>
        <w:ind w:left="360"/>
      </w:pPr>
      <w:r>
        <w:rPr>
          <w:rFonts w:ascii="Arial" w:cs="Arial" w:eastAsia="Arial" w:hAnsi="Arial"/>
          <w:sz w:val="20"/>
          <w:szCs w:val="20"/>
        </w:rPr>
        <w:t xml:space="preserve">□  Publicly available sources</w:t>
      </w:r>
    </w:p>
    <w:p>
      <w:pPr>
        <w:spacing w:before="60" w:after="60"/>
      </w:pPr>
      <w:r>
        <w:rPr>
          <w:rFonts w:ascii="Arial" w:cs="Arial" w:eastAsia="Arial" w:hAnsi="Arial"/>
          <w:sz w:val="20"/>
          <w:szCs w:val="20"/>
        </w:rPr>
        <w:t xml:space="preserve">We do not knowingly collect Personal Data beyond what is necessary for the specified purposes.</w:t>
      </w:r>
    </w:p>
    <w:p>
      <w:pPr>
        <w:pBdr>
          <w:bottom w:val="single" w:color="1F3864" w:sz="6" w:space="1"/>
        </w:pBdr>
        <w:spacing w:before="360" w:after="120"/>
      </w:pPr>
      <w:r>
        <w:rPr>
          <w:rFonts w:ascii="Arial" w:cs="Arial" w:eastAsia="Arial" w:hAnsi="Arial"/>
          <w:b/>
          <w:bCs/>
          <w:color w:val="1F3864"/>
          <w:sz w:val="28"/>
          <w:szCs w:val="28"/>
        </w:rPr>
        <w:t xml:space="preserve">4. LAWFUL BASIS FOR PROCESSING</w:t>
      </w:r>
    </w:p>
    <w:p>
      <w:pPr>
        <w:spacing w:before="60" w:after="60"/>
      </w:pPr>
      <w:r>
        <w:rPr>
          <w:rFonts w:ascii="Arial" w:cs="Arial" w:eastAsia="Arial" w:hAnsi="Arial"/>
          <w:sz w:val="20"/>
          <w:szCs w:val="20"/>
        </w:rPr>
        <w:t xml:space="preserve">We process Personal Data strictly in accordance with the Act and only:</w:t>
      </w:r>
    </w:p>
    <w:p>
      <w:pPr>
        <w:spacing w:before="40" w:after="40"/>
        <w:ind w:left="360"/>
      </w:pPr>
      <w:r>
        <w:rPr>
          <w:rFonts w:ascii="Arial" w:cs="Arial" w:eastAsia="Arial" w:hAnsi="Arial"/>
          <w:sz w:val="20"/>
          <w:szCs w:val="20"/>
        </w:rPr>
        <w:t xml:space="preserve">□  Upon obtaining free, specific, informed, unconditional, and unambiguous consent from the Data Principal; or</w:t>
      </w:r>
    </w:p>
    <w:p>
      <w:pPr>
        <w:spacing w:before="40" w:after="40"/>
        <w:ind w:left="360"/>
      </w:pPr>
      <w:r>
        <w:rPr>
          <w:rFonts w:ascii="Arial" w:cs="Arial" w:eastAsia="Arial" w:hAnsi="Arial"/>
          <w:sz w:val="20"/>
          <w:szCs w:val="20"/>
        </w:rPr>
        <w:t xml:space="preserve">□  For legitimate uses under Section 7 of the Act — including compliance with legal obligations, enforcement of legal rights, medical emergencies, employment-related purposes, and fraud prevention.</w:t>
      </w:r>
    </w:p>
    <w:p>
      <w:pPr>
        <w:spacing w:before="60" w:after="60"/>
      </w:pPr>
      <w:r>
        <w:rPr>
          <w:rFonts w:ascii="Arial" w:cs="Arial" w:eastAsia="Arial" w:hAnsi="Arial"/>
          <w:sz w:val="20"/>
          <w:szCs w:val="20"/>
        </w:rPr>
        <w:t xml:space="preserve">Consent shall be obtained through clear affirmative action and shall not be inferred from silence or pre-ticked boxes.</w:t>
      </w:r>
    </w:p>
    <w:p>
      <w:pPr>
        <w:pBdr>
          <w:bottom w:val="single" w:color="1F3864" w:sz="6" w:space="1"/>
        </w:pBdr>
        <w:spacing w:before="360" w:after="120"/>
      </w:pPr>
      <w:r>
        <w:rPr>
          <w:rFonts w:ascii="Arial" w:cs="Arial" w:eastAsia="Arial" w:hAnsi="Arial"/>
          <w:b/>
          <w:bCs/>
          <w:color w:val="1F3864"/>
          <w:sz w:val="28"/>
          <w:szCs w:val="28"/>
        </w:rPr>
        <w:t xml:space="preserve">5. PURPOSE LIMITATION</w:t>
      </w:r>
    </w:p>
    <w:p>
      <w:pPr>
        <w:spacing w:before="60" w:after="60"/>
      </w:pPr>
      <w:r>
        <w:rPr>
          <w:rFonts w:ascii="Arial" w:cs="Arial" w:eastAsia="Arial" w:hAnsi="Arial"/>
          <w:sz w:val="20"/>
          <w:szCs w:val="20"/>
        </w:rPr>
        <w:t xml:space="preserve">Personal Data is processed solely for the purposes specified at collection:</w:t>
      </w:r>
    </w:p>
    <w:p>
      <w:pPr>
        <w:spacing w:before="40" w:after="40"/>
        <w:ind w:left="360"/>
      </w:pPr>
      <w:r>
        <w:rPr>
          <w:rFonts w:ascii="Arial" w:cs="Arial" w:eastAsia="Arial" w:hAnsi="Arial"/>
          <w:sz w:val="20"/>
          <w:szCs w:val="20"/>
        </w:rPr>
        <w:t xml:space="preserve">□  Provision and maintenance of Services</w:t>
      </w:r>
    </w:p>
    <w:p>
      <w:pPr>
        <w:spacing w:before="40" w:after="40"/>
        <w:ind w:left="360"/>
      </w:pPr>
      <w:r>
        <w:rPr>
          <w:rFonts w:ascii="Arial" w:cs="Arial" w:eastAsia="Arial" w:hAnsi="Arial"/>
          <w:sz w:val="20"/>
          <w:szCs w:val="20"/>
        </w:rPr>
        <w:t xml:space="preserve">□  Account management</w:t>
      </w:r>
    </w:p>
    <w:p>
      <w:pPr>
        <w:spacing w:before="40" w:after="40"/>
        <w:ind w:left="360"/>
      </w:pPr>
      <w:r>
        <w:rPr>
          <w:rFonts w:ascii="Arial" w:cs="Arial" w:eastAsia="Arial" w:hAnsi="Arial"/>
          <w:sz w:val="20"/>
          <w:szCs w:val="20"/>
        </w:rPr>
        <w:t xml:space="preserve">□  Transaction processing</w:t>
      </w:r>
    </w:p>
    <w:p>
      <w:pPr>
        <w:spacing w:before="40" w:after="40"/>
        <w:ind w:left="360"/>
      </w:pPr>
      <w:r>
        <w:rPr>
          <w:rFonts w:ascii="Arial" w:cs="Arial" w:eastAsia="Arial" w:hAnsi="Arial"/>
          <w:sz w:val="20"/>
          <w:szCs w:val="20"/>
        </w:rPr>
        <w:t xml:space="preserve">□  Customer support</w:t>
      </w:r>
    </w:p>
    <w:p>
      <w:pPr>
        <w:spacing w:before="40" w:after="40"/>
        <w:ind w:left="360"/>
      </w:pPr>
      <w:r>
        <w:rPr>
          <w:rFonts w:ascii="Arial" w:cs="Arial" w:eastAsia="Arial" w:hAnsi="Arial"/>
          <w:sz w:val="20"/>
          <w:szCs w:val="20"/>
        </w:rPr>
        <w:t xml:space="preserve">□  Compliance with applicable laws</w:t>
      </w:r>
    </w:p>
    <w:p>
      <w:pPr>
        <w:spacing w:before="40" w:after="40"/>
        <w:ind w:left="360"/>
      </w:pPr>
      <w:r>
        <w:rPr>
          <w:rFonts w:ascii="Arial" w:cs="Arial" w:eastAsia="Arial" w:hAnsi="Arial"/>
          <w:sz w:val="20"/>
          <w:szCs w:val="20"/>
        </w:rPr>
        <w:t xml:space="preserve">□  Fraud prevention and security</w:t>
      </w:r>
    </w:p>
    <w:p>
      <w:pPr>
        <w:spacing w:before="40" w:after="40"/>
        <w:ind w:left="360"/>
      </w:pPr>
      <w:r>
        <w:rPr>
          <w:rFonts w:ascii="Arial" w:cs="Arial" w:eastAsia="Arial" w:hAnsi="Arial"/>
          <w:sz w:val="20"/>
          <w:szCs w:val="20"/>
        </w:rPr>
        <w:t xml:space="preserve">□  Marketing communications (subject to consent)</w:t>
      </w:r>
    </w:p>
    <w:p>
      <w:pPr>
        <w:pBdr>
          <w:bottom w:val="single" w:color="1F3864" w:sz="6" w:space="1"/>
        </w:pBdr>
        <w:spacing w:before="360" w:after="120"/>
      </w:pPr>
      <w:r>
        <w:rPr>
          <w:rFonts w:ascii="Arial" w:cs="Arial" w:eastAsia="Arial" w:hAnsi="Arial"/>
          <w:b/>
          <w:bCs/>
          <w:color w:val="1F3864"/>
          <w:sz w:val="28"/>
          <w:szCs w:val="28"/>
        </w:rPr>
        <w:t xml:space="preserve">6. NOTICE TO DATA PRINCIPALS</w:t>
      </w:r>
    </w:p>
    <w:p>
      <w:pPr>
        <w:spacing w:before="60" w:after="60"/>
      </w:pPr>
      <w:r>
        <w:rPr>
          <w:rFonts w:ascii="Arial" w:cs="Arial" w:eastAsia="Arial" w:hAnsi="Arial"/>
          <w:sz w:val="20"/>
          <w:szCs w:val="20"/>
        </w:rPr>
        <w:t xml:space="preserve">At or prior to collection of Personal Data, we provide a notice specifying:</w:t>
      </w:r>
    </w:p>
    <w:p>
      <w:pPr>
        <w:spacing w:before="40" w:after="40"/>
        <w:ind w:left="360"/>
      </w:pPr>
      <w:r>
        <w:rPr>
          <w:rFonts w:ascii="Arial" w:cs="Arial" w:eastAsia="Arial" w:hAnsi="Arial"/>
          <w:sz w:val="20"/>
          <w:szCs w:val="20"/>
        </w:rPr>
        <w:t xml:space="preserve">□  The categories of Personal Data collected</w:t>
      </w:r>
    </w:p>
    <w:p>
      <w:pPr>
        <w:spacing w:before="40" w:after="40"/>
        <w:ind w:left="360"/>
      </w:pPr>
      <w:r>
        <w:rPr>
          <w:rFonts w:ascii="Arial" w:cs="Arial" w:eastAsia="Arial" w:hAnsi="Arial"/>
          <w:sz w:val="20"/>
          <w:szCs w:val="20"/>
        </w:rPr>
        <w:t xml:space="preserve">□  The purpose of processing</w:t>
      </w:r>
    </w:p>
    <w:p>
      <w:pPr>
        <w:spacing w:before="40" w:after="40"/>
        <w:ind w:left="360"/>
      </w:pPr>
      <w:r>
        <w:rPr>
          <w:rFonts w:ascii="Arial" w:cs="Arial" w:eastAsia="Arial" w:hAnsi="Arial"/>
          <w:sz w:val="20"/>
          <w:szCs w:val="20"/>
        </w:rPr>
        <w:t xml:space="preserve">□  The manner in which Data Principals may exercise their rights</w:t>
      </w:r>
    </w:p>
    <w:p>
      <w:pPr>
        <w:spacing w:before="40" w:after="40"/>
        <w:ind w:left="360"/>
      </w:pPr>
      <w:r>
        <w:rPr>
          <w:rFonts w:ascii="Arial" w:cs="Arial" w:eastAsia="Arial" w:hAnsi="Arial"/>
          <w:sz w:val="20"/>
          <w:szCs w:val="20"/>
        </w:rPr>
        <w:t xml:space="preserve">□  The grievance redressal mechanism</w:t>
      </w:r>
    </w:p>
    <w:p>
      <w:pPr>
        <w:spacing w:before="40" w:after="40"/>
        <w:ind w:left="360"/>
      </w:pPr>
      <w:r>
        <w:rPr>
          <w:rFonts w:ascii="Arial" w:cs="Arial" w:eastAsia="Arial" w:hAnsi="Arial"/>
          <w:sz w:val="20"/>
          <w:szCs w:val="20"/>
        </w:rPr>
        <w:t xml:space="preserve">□  The procedure for withdrawal of consent</w:t>
      </w:r>
    </w:p>
    <w:p>
      <w:pPr>
        <w:pBdr>
          <w:bottom w:val="single" w:color="1F3864" w:sz="6" w:space="1"/>
        </w:pBdr>
        <w:spacing w:before="360" w:after="120"/>
      </w:pPr>
      <w:r>
        <w:rPr>
          <w:rFonts w:ascii="Arial" w:cs="Arial" w:eastAsia="Arial" w:hAnsi="Arial"/>
          <w:b/>
          <w:bCs/>
          <w:color w:val="1F3864"/>
          <w:sz w:val="28"/>
          <w:szCs w:val="28"/>
        </w:rPr>
        <w:t xml:space="preserve">7. DATA PRINCIPAL RIGHTS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Access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Obtain a summary of Personal Data being processed.</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Correction &amp; Erasure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Request correction or erasure of inaccurate or incomplete data.</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Grievance Redressal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Raise and seek timely resolution of grievances.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Nominate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Nominate a representative in the event of death or incapacity.</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Withdraw Consent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Withdraw consent at any time without affecting prior processing.</w:t>
            </w:r>
          </w:p>
        </w:tc>
      </w:tr>
    </w:tbl>
    <w:p>
      <w:pPr>
        <w:pBdr>
          <w:bottom w:val="single" w:color="1F3864" w:sz="6" w:space="1"/>
        </w:pBdr>
        <w:spacing w:before="360" w:after="120"/>
      </w:pPr>
      <w:r>
        <w:rPr>
          <w:rFonts w:ascii="Arial" w:cs="Arial" w:eastAsia="Arial" w:hAnsi="Arial"/>
          <w:b/>
          <w:bCs/>
          <w:color w:val="1F3864"/>
          <w:sz w:val="28"/>
          <w:szCs w:val="28"/>
        </w:rPr>
        <w:t xml:space="preserve">8. COOKIES &amp; TRACKING TECHNOLOGIES</w:t>
      </w:r>
    </w:p>
    <w:p>
      <w:pPr>
        <w:spacing w:before="60" w:after="60"/>
      </w:pPr>
      <w:r>
        <w:rPr>
          <w:rFonts w:ascii="Arial" w:cs="Arial" w:eastAsia="Arial" w:hAnsi="Arial"/>
          <w:sz w:val="20"/>
          <w:szCs w:val="20"/>
        </w:rPr>
        <w:t xml:space="preserve">We use cookies and similar technologies to enhance user experience, analyse usage, and deliver targeted content. You may manage cookie preferences through our Cookie Preference Centre. Withdrawal of cookie consent may affect some website functionalities.</w:t>
      </w:r>
    </w:p>
    <w:p>
      <w:pPr>
        <w:pBdr>
          <w:bottom w:val="single" w:color="1F3864" w:sz="6" w:space="1"/>
        </w:pBdr>
        <w:spacing w:before="360" w:after="120"/>
      </w:pPr>
      <w:r>
        <w:rPr>
          <w:rFonts w:ascii="Arial" w:cs="Arial" w:eastAsia="Arial" w:hAnsi="Arial"/>
          <w:b/>
          <w:bCs/>
          <w:color w:val="1F3864"/>
          <w:sz w:val="28"/>
          <w:szCs w:val="28"/>
        </w:rPr>
        <w:t xml:space="preserve">9. DATA RETENTION</w:t>
      </w:r>
    </w:p>
    <w:p>
      <w:pPr>
        <w:spacing w:before="60" w:after="60"/>
      </w:pPr>
      <w:r>
        <w:rPr>
          <w:rFonts w:ascii="Arial" w:cs="Arial" w:eastAsia="Arial" w:hAnsi="Arial"/>
          <w:sz w:val="20"/>
          <w:szCs w:val="20"/>
        </w:rPr>
        <w:t xml:space="preserve">Personal Data shall be retained only for the period necessary to fulfil the purpose of its collection or as mandated by law. Upon expiry of the retention period, data shall be securely erased or anonymised.</w:t>
      </w:r>
    </w:p>
    <w:p>
      <w:pPr>
        <w:pBdr>
          <w:bottom w:val="single" w:color="1F3864" w:sz="6" w:space="1"/>
        </w:pBdr>
        <w:spacing w:before="360" w:after="120"/>
      </w:pPr>
      <w:r>
        <w:rPr>
          <w:rFonts w:ascii="Arial" w:cs="Arial" w:eastAsia="Arial" w:hAnsi="Arial"/>
          <w:b/>
          <w:bCs/>
          <w:color w:val="1F3864"/>
          <w:sz w:val="28"/>
          <w:szCs w:val="28"/>
        </w:rPr>
        <w:t xml:space="preserve">10. DATA SECURITY</w:t>
      </w:r>
    </w:p>
    <w:p>
      <w:pPr>
        <w:spacing w:before="60" w:after="60"/>
      </w:pPr>
      <w:r>
        <w:rPr>
          <w:rFonts w:ascii="Arial" w:cs="Arial" w:eastAsia="Arial" w:hAnsi="Arial"/>
          <w:sz w:val="20"/>
          <w:szCs w:val="20"/>
        </w:rPr>
        <w:t xml:space="preserve">We implement appropriate technical and organisational measures to protect Personal Data against unauthorised access, disclosure, alteration, or destruction. In the event of a Personal Data Breach, we shall notify the Data Protection Board of India and affected Data Principals as required under Section 8(6) of the Act.</w:t>
      </w:r>
    </w:p>
    <w:p>
      <w:pPr>
        <w:pBdr>
          <w:bottom w:val="single" w:color="1F3864" w:sz="6" w:space="1"/>
        </w:pBdr>
        <w:spacing w:before="360" w:after="120"/>
      </w:pPr>
      <w:r>
        <w:rPr>
          <w:rFonts w:ascii="Arial" w:cs="Arial" w:eastAsia="Arial" w:hAnsi="Arial"/>
          <w:b/>
          <w:bCs/>
          <w:color w:val="1F3864"/>
          <w:sz w:val="28"/>
          <w:szCs w:val="28"/>
        </w:rPr>
        <w:t xml:space="preserve">11. GRIEVANCE REDRESSAL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[Name]</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[grievance@company.com]</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[Address]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Response Timeline: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Within 48 hours of receipt of the complaint</w:t>
            </w:r>
          </w:p>
        </w:tc>
      </w:tr>
    </w:tbl>
    <w:p>
      <w:pPr>
        <w:pBdr>
          <w:bottom w:val="single" w:color="1F3864" w:sz="6" w:space="1"/>
        </w:pBdr>
        <w:spacing w:before="360" w:after="120"/>
      </w:pPr>
      <w:r>
        <w:rPr>
          <w:rFonts w:ascii="Arial" w:cs="Arial" w:eastAsia="Arial" w:hAnsi="Arial"/>
          <w:b/>
          <w:bCs/>
          <w:color w:val="1F3864"/>
          <w:sz w:val="28"/>
          <w:szCs w:val="28"/>
        </w:rPr>
        <w:t xml:space="preserve">12. CONTACT 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[privacy@company.com]</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Phone: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[+91-XXXXXXXXXX]</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[Company Address]</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2026-02-27T09:18:15.548Z</dcterms:created>
  <dcterms:modified xsi:type="dcterms:W3CDTF">2026-02-27T09:18:15.548Z</dcterms:modified>
</cp:coreProperties>
</file>

<file path=docProps/custom.xml><?xml version="1.0" encoding="utf-8"?>
<Properties xmlns="http://schemas.openxmlformats.org/officeDocument/2006/custom-properties" xmlns:vt="http://schemas.openxmlformats.org/officeDocument/2006/docPropsVTypes"/>
</file>